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8A" w:rsidRDefault="003C648A" w:rsidP="003C64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C5">
        <w:rPr>
          <w:rFonts w:ascii="Times New Roman" w:hAnsi="Times New Roman" w:cs="Times New Roman"/>
          <w:b/>
          <w:sz w:val="24"/>
          <w:szCs w:val="24"/>
        </w:rPr>
        <w:t>WYMAGANIA E</w:t>
      </w:r>
      <w:r>
        <w:rPr>
          <w:rFonts w:ascii="Times New Roman" w:hAnsi="Times New Roman" w:cs="Times New Roman"/>
          <w:b/>
          <w:sz w:val="24"/>
          <w:szCs w:val="24"/>
        </w:rPr>
        <w:t>DUKACYJNE – język polski (liceum, technikum) KLASA IV</w:t>
      </w:r>
    </w:p>
    <w:p w:rsidR="003C648A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48A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2F54A0" w:rsidRDefault="003C648A" w:rsidP="003C648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>Kształcenie literackie i kulturowe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:rsidR="003C648A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C648A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:rsidR="003C648A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:rsidR="003C648A" w:rsidRPr="002F54A0" w:rsidRDefault="003C648A" w:rsidP="003C648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:rsidR="003C648A" w:rsidRPr="00191389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648A" w:rsidRPr="00191389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:rsidR="003C648A" w:rsidRPr="00191389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:rsidR="003C648A" w:rsidRPr="00AE2D60" w:rsidRDefault="003C648A" w:rsidP="003C648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648A" w:rsidRPr="00AE2D60" w:rsidRDefault="003C648A" w:rsidP="003C648A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 oceniane będą: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:rsidR="003C648A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:rsidR="003C648A" w:rsidRPr="00A12C96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:rsidR="003C648A" w:rsidRPr="0036052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:rsidR="003C648A" w:rsidRPr="0036052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:rsidR="003C648A" w:rsidRPr="00EB69D0" w:rsidRDefault="003C648A" w:rsidP="003C648A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dodatkowe (np. związane z konkursem, przygotowaniem programu artystycznego)</w:t>
      </w:r>
    </w:p>
    <w:p w:rsidR="003C648A" w:rsidRPr="00F24F13" w:rsidRDefault="003C648A" w:rsidP="003C64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:rsidR="003C648A" w:rsidRPr="00F24F13" w:rsidRDefault="003C648A" w:rsidP="003C648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lastRenderedPageBreak/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F13">
        <w:rPr>
          <w:rFonts w:ascii="Times New Roman" w:hAnsi="Times New Roman" w:cs="Times New Roman"/>
          <w:sz w:val="24"/>
          <w:szCs w:val="24"/>
        </w:rPr>
        <w:t>Fiodor</w:t>
      </w:r>
      <w:proofErr w:type="spellEnd"/>
      <w:r w:rsidRPr="00F24F13">
        <w:rPr>
          <w:rFonts w:ascii="Times New Roman" w:hAnsi="Times New Roman" w:cs="Times New Roman"/>
          <w:sz w:val="24"/>
          <w:szCs w:val="24"/>
        </w:rPr>
        <w:t xml:space="preserve">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:rsidR="003C648A" w:rsidRPr="00F24F13" w:rsidRDefault="003C648A" w:rsidP="003C648A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F24F13" w:rsidRDefault="003C648A" w:rsidP="003C648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Księgi Rodzaju, Księgi Hioba, Księgi </w:t>
      </w:r>
      <w:proofErr w:type="spellStart"/>
      <w:r w:rsidRPr="004F6EE0">
        <w:rPr>
          <w:rFonts w:ascii="Times New Roman" w:hAnsi="Times New Roman" w:cs="Times New Roman"/>
          <w:i/>
          <w:sz w:val="24"/>
          <w:szCs w:val="24"/>
        </w:rPr>
        <w:t>Koheleta</w:t>
      </w:r>
      <w:proofErr w:type="spellEnd"/>
      <w:r w:rsidRPr="004F6EE0">
        <w:rPr>
          <w:rFonts w:ascii="Times New Roman" w:hAnsi="Times New Roman" w:cs="Times New Roman"/>
          <w:i/>
          <w:sz w:val="24"/>
          <w:szCs w:val="24"/>
        </w:rPr>
        <w:t>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lastRenderedPageBreak/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C648A" w:rsidRDefault="003C648A" w:rsidP="003C648A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:rsidR="003C648A" w:rsidRPr="00F24F13" w:rsidRDefault="003C648A" w:rsidP="003C648A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F24F13" w:rsidRDefault="003C648A" w:rsidP="003C648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:rsidR="003C648A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:rsidR="003C648A" w:rsidRPr="00F24F13" w:rsidRDefault="003C648A" w:rsidP="003C648A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648A" w:rsidRPr="00A650B5" w:rsidRDefault="003C648A" w:rsidP="003C648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>4. 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:rsidR="003C648A" w:rsidRPr="00F24F13" w:rsidRDefault="003C648A" w:rsidP="003C648A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:rsidR="003C648A" w:rsidRPr="00F24F13" w:rsidRDefault="003C648A" w:rsidP="003C648A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:rsidR="003C648A" w:rsidRPr="00F24F13" w:rsidRDefault="003C648A" w:rsidP="003C648A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:rsidR="003C648A" w:rsidRPr="00A650B5" w:rsidRDefault="003C648A" w:rsidP="003C648A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:rsidR="003C648A" w:rsidRPr="00F24F13" w:rsidRDefault="003C648A" w:rsidP="003C648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:rsidR="003C648A" w:rsidRPr="00F24F13" w:rsidRDefault="003C648A" w:rsidP="003C648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 xml:space="preserve">Gloria </w:t>
      </w:r>
      <w:proofErr w:type="spellStart"/>
      <w:r w:rsidRPr="00F24F13">
        <w:rPr>
          <w:rFonts w:ascii="Times New Roman" w:hAnsi="Times New Roman" w:cs="Times New Roman"/>
          <w:i/>
          <w:sz w:val="24"/>
          <w:szCs w:val="24"/>
        </w:rPr>
        <w:t>victis</w:t>
      </w:r>
      <w:proofErr w:type="spellEnd"/>
    </w:p>
    <w:p w:rsidR="003C648A" w:rsidRPr="00A650B5" w:rsidRDefault="003C648A" w:rsidP="003C648A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3</w:t>
      </w:r>
    </w:p>
    <w:p w:rsidR="003C648A" w:rsidRPr="00A650B5" w:rsidRDefault="003C648A" w:rsidP="003C648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C648A" w:rsidRPr="00A650B5" w:rsidRDefault="003C648A" w:rsidP="003C648A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:rsidR="003C648A" w:rsidRPr="009B1EED" w:rsidRDefault="003C648A" w:rsidP="003C648A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:rsidR="003C648A" w:rsidRPr="00346B99" w:rsidRDefault="003C648A" w:rsidP="003C648A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648A" w:rsidRDefault="003C648A" w:rsidP="003C648A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szczegółowe na poszczególne oceny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 wiedzy historycznoliterackiej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nie zna treści i problematyki lektur obowiązkowych</w:t>
      </w:r>
      <w:r>
        <w:rPr>
          <w:i/>
        </w:rPr>
        <w:t xml:space="preserve">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nie opanował umiejętności redagowania wypowiedzi </w:t>
      </w:r>
      <w:r w:rsidRPr="00F62726">
        <w:t>pisemnych i ustnych</w:t>
      </w:r>
      <w:r>
        <w:t>, jego wypowiedzi są na ogół niekomunikatywne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 xml:space="preserve">w nikłym stopniu opanował wiedzę i </w:t>
      </w:r>
      <w:r>
        <w:t xml:space="preserve">podstawowe umiejętności określone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</w:t>
      </w:r>
      <w:proofErr w:type="spellStart"/>
      <w:r>
        <w:t>przyczynowo-skutkowe</w:t>
      </w:r>
      <w:proofErr w:type="spellEnd"/>
      <w:r>
        <w:t xml:space="preserve"> w zakresie wiedzy o kulturze;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wskazuje</w:t>
      </w:r>
      <w:r>
        <w:t xml:space="preserve"> tylko najważniejsze informacje w tekście nieliterackim; </w:t>
      </w:r>
    </w:p>
    <w:p w:rsidR="003C648A" w:rsidRPr="00C46C3B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 xml:space="preserve">• z pomocą nauczyciela; </w:t>
      </w:r>
      <w:r w:rsidRPr="00F62726">
        <w:t xml:space="preserve">podejmuje próby omawiania różnych tekstów kultury, redagowania  wypowiedzi ustnych i pisemnych, itp. </w:t>
      </w:r>
    </w:p>
    <w:p w:rsidR="003C648A" w:rsidRPr="00F62726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 w:rsidRPr="00F62726">
        <w:t xml:space="preserve">• posługuje się podstawowymi odmianami polszczyzny, jego wypowiedzi są na ogół komunikatywne;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>
        <w:t xml:space="preserve"> </w:t>
      </w:r>
      <w:r w:rsidRPr="00F62726">
        <w:t xml:space="preserve">sporadycznie </w:t>
      </w:r>
      <w:r>
        <w:t xml:space="preserve">dostrzega i koryguje niektóre typy błędów językowych;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 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częściowo opanował</w:t>
      </w:r>
      <w:r w:rsidRPr="00F62726">
        <w:rPr>
          <w:color w:val="0070C0"/>
        </w:rPr>
        <w:t xml:space="preserve"> </w:t>
      </w:r>
      <w:r w:rsidRPr="00F62726">
        <w:t xml:space="preserve">wiedzę i </w:t>
      </w:r>
      <w:r>
        <w:t xml:space="preserve">podstawowe umiejętności określone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zna treść i problematykę większości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•przyporządkowuje wcześniej poznany tekst kultury (na podstawie konwencji, stylu, obyczaju oraz obrazu kultury materialnej) do określonej epoki literackiej;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wykorzystuje znalezione informacje i przeprowadza analizę źródeł informacji;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i poprawia różne typy błędów językowych;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opinii, tworzy własne opinie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bardzo dobra (5)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samodzielnie interpretuje tekst literacki w różnych kontekstach;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3C648A" w:rsidRPr="00D5589D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podaje (na podstawie konwencji, stylu, obyczaju oraz obrazu kultury materialnej) czas powstania tekstu kultury oraz jego powiązania z kontekstami: historycznym, filozoficznym i artystycznym;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:rsidR="003C648A" w:rsidRDefault="003C648A" w:rsidP="003C648A">
      <w:pPr>
        <w:pStyle w:val="NormalnyWeb"/>
        <w:spacing w:before="0" w:beforeAutospacing="0" w:after="0" w:afterAutospacing="0" w:line="276" w:lineRule="auto"/>
        <w:jc w:val="both"/>
      </w:pPr>
    </w:p>
    <w:p w:rsidR="003C648A" w:rsidRPr="00A12C96" w:rsidRDefault="003C648A" w:rsidP="003C64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t>Odpowiedź ustna: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celujący (6)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dobry (4)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:rsidR="003C648A" w:rsidRPr="00AE2D60" w:rsidRDefault="003C648A" w:rsidP="003C648A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 odpowiedzi, całkowity brak zrozumienia problemu – niedostateczny (1).</w:t>
      </w:r>
    </w:p>
    <w:p w:rsidR="003C648A" w:rsidRPr="00831A31" w:rsidRDefault="003C648A" w:rsidP="003C648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:rsidR="003C648A" w:rsidRPr="00EB69D0" w:rsidRDefault="003C648A" w:rsidP="003C648A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:rsidR="003C648A" w:rsidRPr="00EB69D0" w:rsidRDefault="003C648A" w:rsidP="003C648A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:rsidR="003C648A" w:rsidRPr="00F857FE" w:rsidRDefault="003C648A" w:rsidP="003C648A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>Wymagania edukacyjne na poszczególne oceny do klasy I</w:t>
      </w:r>
      <w:r>
        <w:rPr>
          <w:rFonts w:ascii="Cambria" w:hAnsi="Cambria" w:cs="Times New Roman"/>
          <w:b/>
          <w:bCs/>
          <w:sz w:val="24"/>
          <w:szCs w:val="24"/>
        </w:rPr>
        <w:t>V</w:t>
      </w: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:rsidR="003C648A" w:rsidRPr="009706AD" w:rsidRDefault="003C648A" w:rsidP="003C648A">
      <w:pPr>
        <w:spacing w:after="0"/>
        <w:rPr>
          <w:rFonts w:ascii="Times New Roman" w:hAnsi="Times New Roman"/>
          <w:sz w:val="20"/>
          <w:szCs w:val="20"/>
        </w:rPr>
      </w:pPr>
    </w:p>
    <w:p w:rsidR="003C648A" w:rsidRPr="009706AD" w:rsidRDefault="003C648A" w:rsidP="003C648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E003D" wp14:editId="7DCBE9B1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:rsidR="003C648A" w:rsidRPr="009706AD" w:rsidRDefault="003C648A" w:rsidP="003C648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11AB9" wp14:editId="7AFAE293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jeJgIAAEMEAAAOAAAAZHJzL2Uyb0RvYy54bWysU9tuEzEQfUfiHyy/k700I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:rsidR="003C648A" w:rsidRPr="009706AD" w:rsidRDefault="003C648A" w:rsidP="003C648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:rsidR="003C648A" w:rsidRPr="009706AD" w:rsidRDefault="003C648A" w:rsidP="003C648A">
      <w:pPr>
        <w:spacing w:after="0"/>
        <w:rPr>
          <w:rFonts w:ascii="Times New Roman" w:hAnsi="Times New Roman"/>
          <w:sz w:val="20"/>
          <w:szCs w:val="20"/>
        </w:rPr>
      </w:pPr>
    </w:p>
    <w:p w:rsidR="003C648A" w:rsidRPr="009706AD" w:rsidRDefault="003C648A" w:rsidP="003C648A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8"/>
        <w:gridCol w:w="2221"/>
        <w:gridCol w:w="2577"/>
        <w:gridCol w:w="2602"/>
        <w:gridCol w:w="2202"/>
        <w:gridCol w:w="2284"/>
      </w:tblGrid>
      <w:tr w:rsidR="003C648A" w:rsidRPr="009706AD" w:rsidTr="0057514A">
        <w:tc>
          <w:tcPr>
            <w:tcW w:w="2108" w:type="dxa"/>
            <w:vMerge w:val="restart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7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3C648A" w:rsidRPr="009706AD" w:rsidTr="0057514A">
        <w:tc>
          <w:tcPr>
            <w:tcW w:w="2108" w:type="dxa"/>
            <w:vMerge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577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  <w:vAlign w:val="center"/>
          </w:tcPr>
          <w:p w:rsidR="003C648A" w:rsidRPr="009706AD" w:rsidRDefault="003C648A" w:rsidP="005751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WSPÓŁCZESNOŚĆ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Współczesna rzeczywistość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początek epoki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wydarzenia historyczne oraz inne czynniki, które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ukształtowały epokę</w:t>
            </w:r>
          </w:p>
        </w:tc>
        <w:tc>
          <w:tcPr>
            <w:tcW w:w="2577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najważniejsze wydarzenia w powojennej historii Polski i omówić ich wpływ na kulturę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zjawisko globalizacji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rewolucji informatycznej i jej znaczenia we współczesnym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świecie 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funkcjonowania demokracji i przestrzegania praw człowieka we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współczesnym świecie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zjawiska wielokulturowości we współczesnym świecie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>Filozofia współczesna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kierunki filozoficzne współczesności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zreferować założenia współczesnych nurtów filozoficznych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filozofią a rzeczywistością współczesną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współczesne nurty filozoficzne</w:t>
            </w:r>
          </w:p>
        </w:tc>
        <w:tc>
          <w:tcPr>
            <w:tcW w:w="2284" w:type="dxa"/>
            <w:shd w:val="clear" w:color="auto" w:fill="auto"/>
          </w:tcPr>
          <w:p w:rsidR="003C648A" w:rsidRPr="0034464C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współczesnych nurtów filozoficznych </w:t>
            </w:r>
          </w:p>
          <w:p w:rsidR="003C648A" w:rsidRPr="006A6B63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i 5. </w:t>
            </w:r>
            <w:r>
              <w:rPr>
                <w:rFonts w:ascii="Times New Roman" w:hAnsi="Times New Roman"/>
                <w:sz w:val="20"/>
                <w:szCs w:val="20"/>
              </w:rPr>
              <w:t>Sztuka współczesna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dominujących w epoce stylów sztuki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nowe formy artystyczne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na przykładach dominujące style sztuki współczesnej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nazwiska najważniejszych twórców epoki i rozpoznać ich dzieła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najważniejsze tendencje w historii kina powojennego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najważniejsze tendencje we współczesnej muzyce rozrywkowej i je omówić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dominujące tendencje w teatrze współczesnym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wybrane dzieło sztuki na podstawie podanych kryteriów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  <w:vAlign w:val="center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WSPÓŁCZESNOŚĆ</w:t>
            </w:r>
            <w:r w:rsidRPr="0034464C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Wprowadzenie do literatury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współczesnej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tendencje we współczesnej literaturze światowej </w:t>
            </w:r>
          </w:p>
        </w:tc>
        <w:tc>
          <w:tcPr>
            <w:tcW w:w="2577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najważniejszych twórców literatury światowej </w:t>
            </w: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najważniejsze tendencje w literaturze polskiej i omówić ich związek z wydarzeniami historycznymi 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i scharakteryzować tematy dominujące w literaturze polskiej </w:t>
            </w:r>
          </w:p>
        </w:tc>
        <w:tc>
          <w:tcPr>
            <w:tcW w:w="2284" w:type="dxa"/>
            <w:shd w:val="clear" w:color="auto" w:fill="D9D9D9"/>
          </w:tcPr>
          <w:p w:rsidR="003C648A" w:rsidRPr="00317697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wybrany trend literatury światowej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6823B0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8. 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 xml:space="preserve"> Dżuma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Alberta Camusa – różne poziomy odbioru powieści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powieści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powieści pozwalające traktować ją jako parabolę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metaforyczne odczytania powieści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uzasadnić, w oparciu o tekst, możliwość odczytania utworu jako opowieści o chorobie, wojnie, systemie totalitarnym, ogólnym problemie zła w świecie 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zakończenie utworu 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konteksty potrzebne do interpretacji utworu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0CECE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 i 10.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Bohaterowie w konfrontacji ze złem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Dżuma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Alberta Camusa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życie mieszkańców Oranu przed dżumą i w trakcie epidemii</w:t>
            </w:r>
          </w:p>
        </w:tc>
        <w:tc>
          <w:tcPr>
            <w:tcW w:w="2577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postawy bohaterów wobec dżumy w znaczeniu dosłownym i metaforycznym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</w:tc>
        <w:tc>
          <w:tcPr>
            <w:tcW w:w="2602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historię Jeana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Tarrou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02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rozpatrzyć postawę doktora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Rieux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kontekście filozofii egzystencjalnej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0CECE"/>
          </w:tcPr>
          <w:p w:rsidR="003C648A" w:rsidRPr="008C107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kazań ojca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Paneloux</w:t>
            </w:r>
            <w:proofErr w:type="spellEnd"/>
          </w:p>
        </w:tc>
      </w:tr>
      <w:tr w:rsidR="003C648A" w:rsidRPr="009706AD" w:rsidTr="0057514A">
        <w:tc>
          <w:tcPr>
            <w:tcW w:w="2108" w:type="dxa"/>
            <w:shd w:val="clear" w:color="auto" w:fill="D0CECE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Dżuma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Alberta Camusa – kształt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>artystyczny utworu</w:t>
            </w:r>
          </w:p>
        </w:tc>
        <w:tc>
          <w:tcPr>
            <w:tcW w:w="2221" w:type="dxa"/>
            <w:shd w:val="clear" w:color="auto" w:fill="D0CECE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różne formy narracji w powieści</w:t>
            </w:r>
          </w:p>
        </w:tc>
        <w:tc>
          <w:tcPr>
            <w:tcW w:w="2577" w:type="dxa"/>
            <w:shd w:val="clear" w:color="auto" w:fill="D0CECE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różnych form narracyjnych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utworze</w:t>
            </w:r>
          </w:p>
        </w:tc>
        <w:tc>
          <w:tcPr>
            <w:tcW w:w="2602" w:type="dxa"/>
            <w:shd w:val="clear" w:color="auto" w:fill="D0CECE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stosunku narratora do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orańczyków oraz bohaterów drugoplanowych </w:t>
            </w:r>
          </w:p>
        </w:tc>
        <w:tc>
          <w:tcPr>
            <w:tcW w:w="2202" w:type="dxa"/>
            <w:shd w:val="clear" w:color="auto" w:fill="D0CECE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uniwersalizacji czasu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przestrzeni w powieści</w:t>
            </w:r>
          </w:p>
        </w:tc>
        <w:tc>
          <w:tcPr>
            <w:tcW w:w="2284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analizować sposób opisu miasta w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powieści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Motyw zła w literaturze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wymienić utwory, w których pojawił się motyw zła</w:t>
            </w:r>
          </w:p>
        </w:tc>
        <w:tc>
          <w:tcPr>
            <w:tcW w:w="2577" w:type="dxa"/>
            <w:shd w:val="clear" w:color="auto" w:fill="FFFFFF"/>
          </w:tcPr>
          <w:p w:rsidR="003C648A" w:rsidRPr="003D7B41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skategoryzować realizacje motywu zła w opisanych utworach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różne sposoby opisywania zła w utworach literackich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sposób ukazania zła w utworach literackich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omówić sposób przedstawienia zła w tekście nieliterackim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3C648A" w:rsidP="0057514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6823B0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4F3C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Kreowanie świata poprzez słowo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 środku życia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  <w:r w:rsidRPr="00EA09D3">
              <w:rPr>
                <w:rFonts w:ascii="Times New Roman" w:hAnsi="Times New Roman"/>
                <w:color w:val="FF0000"/>
                <w:sz w:val="20"/>
                <w:szCs w:val="20"/>
              </w:rPr>
              <w:t>*</w:t>
            </w:r>
          </w:p>
          <w:p w:rsidR="003C648A" w:rsidRDefault="003C648A" w:rsidP="0057514A">
            <w:pPr>
              <w:pStyle w:val="Bezodstpw"/>
            </w:pPr>
          </w:p>
          <w:p w:rsidR="003C648A" w:rsidRPr="00E75F05" w:rsidRDefault="003C648A" w:rsidP="0057514A">
            <w:pPr>
              <w:pStyle w:val="Bezodstpw"/>
            </w:pPr>
            <w:r w:rsidRPr="00F20A61">
              <w:rPr>
                <w:rFonts w:ascii="Times New Roman" w:hAnsi="Times New Roman"/>
                <w:color w:val="FF0000"/>
                <w:sz w:val="20"/>
                <w:szCs w:val="20"/>
              </w:rPr>
              <w:t>*W podstawie programowej wybrane wiersze tego poety są wskazane jako obowiązkowe.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bookmarkStart w:id="0" w:name="_Hlk104573601"/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  <w:bookmarkEnd w:id="0"/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wierszu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wykorzystywać odpowiednie konteksty w interpretacji kreacji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budowaniu przesłania wiersza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noża i chleba w kontekście utworu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Dialog z kulturą w wierszu Tadeusza Różewicza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przytoczyć kontekst mitologiczny – mit o Dedalu i Ikarze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powiązania pomiędzy obrazem a wierszem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bookmarkStart w:id="1" w:name="_Hlk104573562"/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  <w:bookmarkEnd w:id="1"/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reinterpretację mitu dokonaną przez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Pietera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Bruegla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podmiotu lirycznego do Ikara w pierwszej i drugiej części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bookmarkStart w:id="2" w:name="_Hlk104573569"/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środków językowych </w:t>
            </w:r>
            <w:bookmarkEnd w:id="2"/>
            <w:r>
              <w:rPr>
                <w:rFonts w:ascii="Times New Roman" w:hAnsi="Times New Roman"/>
                <w:sz w:val="20"/>
                <w:szCs w:val="20"/>
              </w:rPr>
              <w:t>użytych w wierszu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tytułu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wykorzystanie toposu Ikara w różnych tekstach literackich na przestrzeni epok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DD1B16" w:rsidRPr="009706AD" w:rsidRDefault="003C648A" w:rsidP="00DD1B16">
            <w:pPr>
              <w:spacing w:after="0" w:line="240" w:lineRule="auto"/>
              <w:rPr>
                <w:i/>
              </w:rPr>
            </w:pPr>
            <w:r w:rsidRPr="007D036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6823B0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7D03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4711C6">
              <w:rPr>
                <w:rFonts w:ascii="Times New Roman" w:hAnsi="Times New Roman"/>
                <w:sz w:val="20"/>
                <w:szCs w:val="20"/>
              </w:rPr>
              <w:t xml:space="preserve">Poeta wobec braku Boga – </w:t>
            </w:r>
            <w:r w:rsidRPr="004711C6">
              <w:rPr>
                <w:rFonts w:ascii="Times New Roman" w:hAnsi="Times New Roman"/>
                <w:i/>
                <w:sz w:val="20"/>
                <w:szCs w:val="20"/>
              </w:rPr>
              <w:t>bez</w:t>
            </w:r>
            <w:r w:rsidRPr="004711C6"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  <w:p w:rsidR="003C648A" w:rsidRPr="009706AD" w:rsidRDefault="003C648A" w:rsidP="0057514A">
            <w:pPr>
              <w:spacing w:after="0" w:line="240" w:lineRule="auto"/>
              <w:rPr>
                <w:i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nawiązania biblijne obecne w wierszu</w:t>
            </w:r>
          </w:p>
        </w:tc>
        <w:tc>
          <w:tcPr>
            <w:tcW w:w="26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filozoficzne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początek utworu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wiersz w kontekście filozofii egzystencjalnej i nietzscheańskiej tezy „Bóg umarł”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Współczesne piekło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brama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przestrzeń przedstawioną w wierszu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aluzję literacką w wierszu Różewicza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elementy groteski w wierszu Różewicza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groteski w wierszu Różewicza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wykorzystanie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nawiązań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Boskiej komedii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Dantego w różnych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tekstach literackich na przestrzeni epok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znaczenie wizji piekła </w:t>
            </w:r>
            <w:r w:rsidRPr="003274E2">
              <w:rPr>
                <w:rFonts w:ascii="Times New Roman" w:hAnsi="Times New Roman"/>
                <w:sz w:val="20"/>
                <w:szCs w:val="20"/>
              </w:rPr>
              <w:t>przedstawion</w:t>
            </w:r>
            <w:r>
              <w:rPr>
                <w:rFonts w:ascii="Times New Roman" w:hAnsi="Times New Roman"/>
                <w:sz w:val="20"/>
                <w:szCs w:val="20"/>
              </w:rPr>
              <w:t>ych</w:t>
            </w:r>
            <w:r w:rsidRPr="003274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 obu tekstach 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symboliczne znaczenie bramy w kontekstach: religijnym, literackim,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historycznym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Poetycki pomnik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Matka odchodzi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Tadeusza Różewicza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we fragmentach i określić ich funkcję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narratora i podmiotu lirycznego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podanych fragmentach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cechy literatury funeralnej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opisywania matki w podanych fragmentach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emocji w podanych fragmentach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 użytych w podanych fragmentach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język liryki z językiem prozy we fragmentach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samotności osoby umierającej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przesłanie wierszy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wykorzystanie toposu matki w różnych tekstach literackich na przestrzeni epok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i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 xml:space="preserve"> Kartoteka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Tadeusza Różewicza – wprowadzenie do analizy utworu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Kartotece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zaczerpnięte z tradycji dramaturgicznej 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didaskaliów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oniryczne w utworze</w:t>
            </w:r>
          </w:p>
          <w:p w:rsidR="003C648A" w:rsidRPr="00664A61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fragmentarycznej kompozycji dramatu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znaczenie tytułu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w jaki sposób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Kartoteka </w:t>
            </w:r>
            <w:r>
              <w:rPr>
                <w:rFonts w:ascii="Times New Roman" w:hAnsi="Times New Roman"/>
                <w:sz w:val="20"/>
                <w:szCs w:val="20"/>
              </w:rPr>
              <w:t>realizuje założenia teatru otwartego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Wśród bohaterów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Kartoteki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bohaterów pojawiających się w utworze i wyjaśnić, jaką pełnią funkcję w dramacie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postaci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groteski w dramacie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</w:t>
            </w:r>
            <w:r>
              <w:t xml:space="preserve"> </w:t>
            </w:r>
            <w:r w:rsidRPr="005C13DA">
              <w:rPr>
                <w:rFonts w:ascii="Times New Roman" w:hAnsi="Times New Roman"/>
                <w:sz w:val="20"/>
                <w:szCs w:val="20"/>
              </w:rPr>
              <w:t>potrzebne do interpretacji utworu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chóru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groteski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didaskaliów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Bohatera – przedstawionego w samotności i wśród innych postaci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0636EF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0636EF">
              <w:rPr>
                <w:rFonts w:ascii="Times New Roman" w:hAnsi="Times New Roman"/>
                <w:sz w:val="20"/>
                <w:szCs w:val="20"/>
              </w:rPr>
              <w:t xml:space="preserve"> sposób konstruowania postaci w dramacie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Kartoteka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– diagnoza współczesności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ułożyć życiorys Bohatera na podstawie informacji znajdujących się w tekście 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doświadczenia generacyjne, które dzielą bohaterów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elementy języka propagandy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historyczne, społeczne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literackie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stosunek Bohatera do świata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przeszłości na Bohatera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nieufności Bohatera wobec języka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przestrzeni scenicznej w utworze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>Kartoteka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Tadeusza Różewicza – konteksty </w:t>
            </w:r>
            <w:r w:rsidR="003C648A" w:rsidRPr="00295BC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konteksty powiązane z utworem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wybrane konteksty</w:t>
            </w:r>
          </w:p>
        </w:tc>
        <w:tc>
          <w:tcPr>
            <w:tcW w:w="2602" w:type="dxa"/>
            <w:shd w:val="clear" w:color="auto" w:fill="FFFFFF"/>
          </w:tcPr>
          <w:p w:rsidR="003C648A" w:rsidRPr="00DB5E3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powiązania pomiędzy tekstem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Kartoteki </w:t>
            </w:r>
            <w:r>
              <w:rPr>
                <w:rFonts w:ascii="Times New Roman" w:hAnsi="Times New Roman"/>
                <w:sz w:val="20"/>
                <w:szCs w:val="20"/>
              </w:rPr>
              <w:t>a kontekstami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znaczenia wynikające z intertekstualnego odczytania utworu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08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sposób przedstawienia podobnego motywu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Kartotece </w:t>
            </w:r>
            <w:r>
              <w:rPr>
                <w:rFonts w:ascii="Times New Roman" w:hAnsi="Times New Roman"/>
                <w:sz w:val="20"/>
                <w:szCs w:val="20"/>
              </w:rPr>
              <w:t>i przywołanych kontekstach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0CECE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Obraz państwa totalitarnego w </w:t>
            </w:r>
            <w:r w:rsidR="003C648A">
              <w:rPr>
                <w:rFonts w:ascii="Times New Roman" w:hAnsi="Times New Roman"/>
                <w:i/>
                <w:sz w:val="20"/>
                <w:szCs w:val="20"/>
              </w:rPr>
              <w:t>Roku 1984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George’a Orwella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powieści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ministerstwa Oceanii i zakres ich działalności</w:t>
            </w:r>
          </w:p>
        </w:tc>
        <w:tc>
          <w:tcPr>
            <w:tcW w:w="2577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podział społeczny Oceanii i scharakteryzować przestrzeń, w której rozgrywa się akcja antyutopii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sposoby sprawowania kontroli nad obywatelami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</w:t>
            </w:r>
            <w:r w:rsidRPr="005C13DA">
              <w:rPr>
                <w:rFonts w:ascii="Times New Roman" w:hAnsi="Times New Roman"/>
                <w:sz w:val="20"/>
                <w:szCs w:val="20"/>
              </w:rPr>
              <w:t>potrzebne do interpretacji utworu</w:t>
            </w:r>
          </w:p>
        </w:tc>
        <w:tc>
          <w:tcPr>
            <w:tcW w:w="2602" w:type="dxa"/>
            <w:shd w:val="clear" w:color="auto" w:fill="D0CECE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Emmanuela Goldsteina w procesie kreacji państwa totalitarnego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konfliktów zbrojnych w procesie kształtowania się państwa totalitarnego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relacji międzyludzkich w państwie totalitarnym</w:t>
            </w:r>
          </w:p>
        </w:tc>
        <w:tc>
          <w:tcPr>
            <w:tcW w:w="2284" w:type="dxa"/>
            <w:shd w:val="clear" w:color="auto" w:fill="D0CECE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przywołać i omówić konteksty kulturowe, historyczne i społeczno-polityczne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B95373">
              <w:rPr>
                <w:rFonts w:ascii="Times New Roman" w:hAnsi="Times New Roman"/>
                <w:sz w:val="20"/>
                <w:szCs w:val="20"/>
              </w:rPr>
              <w:t>Kondycja człowieka i człowieczeństwo w warunkach państwa totalitarnego</w:t>
            </w:r>
          </w:p>
          <w:p w:rsidR="003C648A" w:rsidRPr="009706AD" w:rsidRDefault="003C648A" w:rsidP="00DD1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(lektura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obowiązkow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Winstona i Julię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zaprezentować, na czym polega wolność według Winstona i jak postrzega ją Julia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zaprezentować, na czym polega bunt bohaterów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</w:t>
            </w:r>
            <w:r w:rsidRPr="005C13DA">
              <w:rPr>
                <w:rFonts w:ascii="Times New Roman" w:hAnsi="Times New Roman"/>
                <w:sz w:val="20"/>
                <w:szCs w:val="20"/>
              </w:rPr>
              <w:t>potrzebne do interpretacji utworu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przyczyny różnych sposobów postrzegania wolności przez bohaterów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koncepcję człowieczeństwa na podstawie ostatniej rozmowy Winstona 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O’Brienem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przywołać konteksty literackie dotyczące człowieczeństwa i wolności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słowa Winstona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powieści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podjąć dyskusję na temat człowieczeństwa w kontekście utworu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Językowy obraz świata – nowomowa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Roku 1984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Orwella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kontrola nad przeszłością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nowomowę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dwójmyślenie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redukcji słownictwa w procesie indoktrynacji</w:t>
            </w: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kontroli przeszłości w państwie totalitarnym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 kontekście lektury wyjaśnić znaczenie słów Ludwiga Wittgensteina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tezy głoszącej, że granice naszego języka są granicami naszego świata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Rok 1984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George’a Orwella – konteksty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metody przesłuchań opisane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Roku 1984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metodami śledczymi przedstawionymi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Innym świecie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Gustawa Herlinga-Grudzińskiego 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przywołać obrazy antyutopii w znanych sobie filmach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literackie obrazy władzy totalitarnej w znanych sobie tekstach literackich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plakaty propagandowe i porównać je z obrazem świata przedstawionym przez Orwella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adaptacje książki Orwella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D00BB8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Motyw utopii w literaturze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wymienić utwory, w których zawarty jest motyw utopii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skategoryzować realizacje motywu utopii w opisanych utworach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różne sposoby przedstawiania utopii w utworach literackich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motyw utopi w odniesieniu do kontekstów: historycznego,  społecznego i politycznego 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przeanalizować sposób ukazania utopii w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6823B0" w:rsidP="0057514A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Kto przyniesie światu moralne ocalenie?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Traktat moralny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Czesława Miłosza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C648A" w:rsidRPr="00D763F3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tematykę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Traktatu moralnego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postawę, którą zaleca poeta wobec </w:t>
            </w:r>
            <w:r w:rsidRPr="00D1594D">
              <w:rPr>
                <w:rFonts w:ascii="Times New Roman" w:hAnsi="Times New Roman"/>
                <w:sz w:val="20"/>
                <w:szCs w:val="20"/>
              </w:rPr>
              <w:t>wszelkich idei, teorii, program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wykorzystane w utworze zabiegi retoryczne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została przedstawiona relacja człowiek – historia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zaproponowany przez podmiot liryczny sposób ocalenia moralnego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traktatu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zabiegów retorycznych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Odezwa do rządzących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–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648A" w:rsidRPr="2546A2A0">
              <w:rPr>
                <w:rFonts w:ascii="Times New Roman" w:hAnsi="Times New Roman"/>
                <w:i/>
                <w:iCs/>
                <w:sz w:val="20"/>
                <w:szCs w:val="20"/>
              </w:rPr>
              <w:t>Który skrzywdziłeś</w:t>
            </w:r>
            <w:r w:rsidR="00DD1B16">
              <w:rPr>
                <w:rFonts w:ascii="Times New Roman" w:hAnsi="Times New Roman"/>
                <w:sz w:val="20"/>
                <w:szCs w:val="20"/>
              </w:rPr>
              <w:t xml:space="preserve"> Czesława Miłosza</w:t>
            </w:r>
            <w:r w:rsidR="003C648A" w:rsidRPr="00F20A61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adresata utworu</w:t>
            </w:r>
          </w:p>
        </w:tc>
        <w:tc>
          <w:tcPr>
            <w:tcW w:w="2577" w:type="dxa"/>
            <w:shd w:val="clear" w:color="auto" w:fill="auto"/>
          </w:tcPr>
          <w:p w:rsidR="003C648A" w:rsidRPr="00980DC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wypowiedzieć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się na temat kreacji podmiotu lirycznego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przedstawić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zawartą w utworze koncepcję artysty i sztuki </w:t>
            </w:r>
          </w:p>
        </w:tc>
        <w:tc>
          <w:tcPr>
            <w:tcW w:w="2602" w:type="dxa"/>
            <w:shd w:val="clear" w:color="auto" w:fill="auto"/>
          </w:tcPr>
          <w:p w:rsidR="003C648A" w:rsidRPr="00980DC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funkcję zastosowanej w utworze liryki apelu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konteksty literackie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odnoszące się do 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roli poety 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zbiorowości</w:t>
            </w:r>
          </w:p>
        </w:tc>
        <w:tc>
          <w:tcPr>
            <w:tcW w:w="2202" w:type="dxa"/>
            <w:shd w:val="clear" w:color="auto" w:fill="auto"/>
          </w:tcPr>
          <w:p w:rsidR="003C648A" w:rsidRPr="00980DC2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80DC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zinterpretować</w:t>
            </w:r>
            <w:r w:rsidRPr="00980DC2">
              <w:rPr>
                <w:rFonts w:ascii="Times New Roman" w:hAnsi="Times New Roman"/>
                <w:sz w:val="20"/>
                <w:szCs w:val="20"/>
              </w:rPr>
              <w:t xml:space="preserve"> ostatni wers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przesłanie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aktualności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DD1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="003C648A" w:rsidRPr="2546A2A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2546A2A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Ars poetica? 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Czesława Miłosza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–</w:t>
            </w:r>
            <w:r w:rsidR="003C648A" w:rsidRPr="2546A2A0">
              <w:rPr>
                <w:rFonts w:ascii="Times New Roman" w:hAnsi="Times New Roman"/>
                <w:sz w:val="20"/>
                <w:szCs w:val="20"/>
              </w:rPr>
              <w:t xml:space="preserve"> dialog z tradycją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fragmenty mówiące o problemach związanych z aktem tworzenia dzieła literackiego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których pojawia się motyw poety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artysty w wierszu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jaka, według podmiotu lirycznego, powinna być relacja między formą a treścią dzieła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język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wywodu poetyckiego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dotyczące ujęcia motywu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ars poetica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przedstawienia motywu poety w różnych utworach literackich 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 społecznej i intymnej roli języka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Moja wierna mowo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Czesława Miłosza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ojczyzny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historyczny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powiązania pomiędzy kontekstem biograficznym i historycznym a treścią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ojczyzny w różnych utworach literackich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wiersza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 w:rsidR="003C64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Odwrócony topos raju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Nad strumieniem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Czesława Miłosza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  <w:p w:rsidR="003C648A" w:rsidRPr="00787D8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raju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natury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paradoksalny charakter piękna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odwołanie do motywu raju w utworze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literackie dotyczące kreacji świata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raju w różnych utworach literackich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Poetycki obraz Apokalipsy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U wrót doliny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Herberta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 biblijny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różne postawy ludzkie wobec nieuniknionego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stylów językowych zestawionych ze sobą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 historyczny – II wojnę światową, obozy koncentracyjne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konteksty kulturowe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znaczenie czasu i przestrzeni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bohaterów wiersza do innych ludzi, zwierząt i przedmiotów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motyw sądu ostatecznego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motywu sądu ostatecznego w różnych utworach literackich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uniwersalnej wymowy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Konfrontacja dwóch koncepcji sztuki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Apollo i Marsjasz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Herberta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mit o Apollu i Marsjaszu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określić, jaką koncepcję sztuki symbolizuje Apollo, a jaką – Marsjasz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Apolla w wierszu Herberta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Marsjasza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kontrastowego zestawienia Apolla i Marsjasza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cierpienia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początkowe wersy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dwóch koncepcji sztuki przedstawionych w wierszu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Dlaczego klasycy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Herberta – manifest artystyczny poety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części kompozycyjne utworu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kontekst historyczny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Tukidydesa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skonfrontować ze sobą postawy Tukidydesa i </w:t>
            </w:r>
            <w:r w:rsidRPr="00F570C0">
              <w:rPr>
                <w:rFonts w:ascii="Times New Roman" w:hAnsi="Times New Roman"/>
                <w:iCs/>
                <w:sz w:val="20"/>
                <w:szCs w:val="20"/>
              </w:rPr>
              <w:t>współczesnych dowódców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artystyczne credo poety poprzez udzielenie odpowiedzi na pytanie zawarte w tytule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roli i zadań sztuki w kontekście utworu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*35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Refleksje na temat historii i kultury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Akropol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Zbigniewa Herberta*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eseju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eseju w tekście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i wskazać środki językowe użyte w tekście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omówić, opisane przez Herberta, doświadczenie podróży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polegały obawy poety przed konfrontacją z Akropolem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 użytych w tekście</w:t>
            </w:r>
          </w:p>
        </w:tc>
        <w:tc>
          <w:tcPr>
            <w:tcW w:w="2202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zbioru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Labirynt nad morzem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refleksje poety na temat współczesnego oglądu sztuki greckiej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 postawie wyprostowanej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Przesłanie Pana Cogito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adresata lirycznego 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filozoficzne w odniesieniu do kreacji podmiotu lirycznego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na podstawie wiersza stworzyć kodeks moralny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człowieka wyprostowanego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funkcję wykorzystanych w wierszu kontekstów kulturowych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wykorzystanych w wierszu środków językowych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utwory, w których pojawia się motyw mędrca 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metaforykę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mędrca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Poeta w czasie wojennym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Raport z oblężonego miasta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Zbigniewa Herberta</w:t>
            </w:r>
          </w:p>
        </w:tc>
        <w:tc>
          <w:tcPr>
            <w:tcW w:w="2221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przedstawioną w utworze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podmiotu lirycznego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treść wiersza do tytułowej formy raportu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w wierszu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egzystencjalną człowieka żyjącego w oblężonym mieście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kronikarza w wierszu Herberta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Dżumie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Alberta Camusa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kontekstów historycznych w wierszu</w:t>
            </w:r>
          </w:p>
        </w:tc>
        <w:tc>
          <w:tcPr>
            <w:tcW w:w="2202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metaforę oblężenia w kontekście innych utworów literackich </w:t>
            </w:r>
          </w:p>
        </w:tc>
        <w:tc>
          <w:tcPr>
            <w:tcW w:w="2284" w:type="dxa"/>
            <w:shd w:val="clear" w:color="auto" w:fill="E7E6E6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sposób przedstawienia oblężenia w wierszu Herberta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Dżumie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Alberta Camusa, uwzględniając konteksty filozoficzne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DD1B16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Poetycka pokuta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Rehabilitacja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zrelacjonować treść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wypowiedzieć się na temat kreacji podmiotu lirycznego, uwzględniając kontekst biograficzny</w:t>
            </w:r>
          </w:p>
          <w:p w:rsidR="003C648A" w:rsidRPr="005E3A3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rozpoznać i wskazać środki językowe </w:t>
            </w:r>
            <w:r>
              <w:rPr>
                <w:rFonts w:ascii="Times New Roman" w:hAnsi="Times New Roman"/>
                <w:sz w:val="20"/>
                <w:szCs w:val="20"/>
              </w:rPr>
              <w:t>użyte w tekście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omówić topos błazna w odniesieniu do wcześniej poznanych lektur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określić funkcję środków językowych </w:t>
            </w:r>
            <w:r>
              <w:rPr>
                <w:rFonts w:ascii="Times New Roman" w:hAnsi="Times New Roman"/>
                <w:sz w:val="20"/>
                <w:szCs w:val="20"/>
              </w:rPr>
              <w:t>użytych w tekście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zakończenie wiersza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zinterpretować wiersz w kontekście historycznym i w odniesieniu do prawd uniwersalnych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5E3A3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Człowiek wobec natury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Rozmowa z kamieniem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charakterystyczne dla twórczości Wisławy Szymborskiej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specyfikę twórczości Wisławy Szymborskiej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powtórzeń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wyłaniającego się z utworu obrazu człowieka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sformułowane przez kamień argumenty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zawartej w wierszu koncepcji człowieczeństwa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Poetycki akt kreacji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Radość pisania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świat wykreowany przez poetkę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służące do wykreowania efektu plastyczności i zmysłowości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zaprezentowany w wierszu świat poetycki ze światem realnym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motyw poety kreatora w odniesieniu do wiersza i innych utworów literackich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Filozoficzny namysł nad człowiekiem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Monolog dla Kasandry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>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sytuację liryczną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nawiązujące do mitologicznego źródła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w odniesieniu do kontekstu mitologicznego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motyw Kasandry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tekście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i zinterpretować wnioski Kasandry na temat jej postawy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przesłanie wiersza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 kontekstów filozoficznych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użytych w tekście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</w:t>
            </w:r>
            <w:r w:rsidRPr="003635BF">
              <w:rPr>
                <w:rFonts w:ascii="Times New Roman" w:hAnsi="Times New Roman"/>
                <w:sz w:val="20"/>
                <w:szCs w:val="20"/>
              </w:rPr>
              <w:t>obecne w utworze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przeciwstawienia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stosunek Kasandry do umiejętności jasnowidzenia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motywu Kasandry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Namysł nad sztuką zideologizowaną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Miniatura średniowieczna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sytuację liryczną w wierszu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opisanej w wierszu feudalnej rzeczywistości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wierszu zarzuty wobec sztuki podporządkowanej konkretnej wizji świata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kulturowe i historyczne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idealizacji świata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użytych w tekście środków językowych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uniwersalną wymowę wiersza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problematykę wiersza do znanych sobie kontekstów literackich i kulturowych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zasadności istnienia sztuki zideologizowanej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Życie jako przedstawienie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Życie na poczekaniu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sformułowania związane z teatrem</w:t>
            </w:r>
          </w:p>
        </w:tc>
        <w:tc>
          <w:tcPr>
            <w:tcW w:w="2577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zapisanej w utworze wizji roli człowieka w świecie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topos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mundi</w:t>
            </w:r>
            <w:proofErr w:type="spellEnd"/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odwołań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teatru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toposu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mundi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Namysł nad fenomenem zła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Nienawiść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Wisławy Szymborskiej</w:t>
            </w:r>
          </w:p>
        </w:tc>
        <w:tc>
          <w:tcPr>
            <w:tcW w:w="2221" w:type="dxa"/>
            <w:shd w:val="clear" w:color="auto" w:fill="auto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przedstawione w wierszu przyczyny istnienia nienawiści i skutki jej działań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tekście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tytułową nienawiść</w:t>
            </w:r>
          </w:p>
          <w:p w:rsidR="003C648A" w:rsidRPr="00FC358C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i społeczne, które łączą się z problematyką utworu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środków 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problematykę wiersza do zakończenia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Dżumy </w:t>
            </w:r>
            <w:r>
              <w:rPr>
                <w:rFonts w:ascii="Times New Roman" w:hAnsi="Times New Roman"/>
                <w:sz w:val="20"/>
                <w:szCs w:val="20"/>
              </w:rPr>
              <w:t>Alberta Camusa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zastosowanej w wierszu ironii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uniwersalne przesłanie wiersza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Kochankowie jako motyw literacki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*** 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r w:rsidR="003C648A" w:rsidRPr="00DB6DD1">
              <w:rPr>
                <w:rFonts w:ascii="Times New Roman" w:hAnsi="Times New Roman"/>
                <w:i/>
                <w:iCs/>
                <w:sz w:val="20"/>
                <w:szCs w:val="20"/>
              </w:rPr>
              <w:t>Jestem Julią…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Haliny Poświatowskiej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wierszu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środki językowe użyte w tekście </w:t>
            </w:r>
          </w:p>
          <w:p w:rsidR="003C648A" w:rsidRPr="00F958C0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kochanków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przeżywania miłości przez podmiot liryczny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mówienia o miłości – w kontekście biologicznym i kulturowym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tragizm podmiotu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lirycznego</w:t>
            </w:r>
          </w:p>
          <w:p w:rsidR="003C648A" w:rsidRPr="00CD6879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kochanków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znaczenie specyficznej kompozycji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kochanków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Śmierć i miłość w wierszu ***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r w:rsidR="003C648A" w:rsidRPr="00DB6DD1">
              <w:rPr>
                <w:rFonts w:ascii="Times New Roman" w:hAnsi="Times New Roman"/>
                <w:i/>
                <w:iCs/>
                <w:sz w:val="20"/>
                <w:szCs w:val="20"/>
              </w:rPr>
              <w:t>Zawsze kiedy chcę żyć krzyczę…</w:t>
            </w:r>
            <w:r w:rsidR="003C648A" w:rsidRPr="004711C6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  <w:r w:rsidR="003C648A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Haliny Poświatowskiej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w kontekście biograficznym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koncept, na podstawie którego poetka konstruuje swój wiersz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motywów miłości i śmierci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topos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vanitas</w:t>
            </w:r>
            <w:proofErr w:type="spellEnd"/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użytą w wierszu grę słów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toposu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vanitas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Estetyka kiczu i przestrzeń sacrum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Karuzeli z madonnami </w:t>
            </w:r>
            <w:r w:rsidR="00DD1B16">
              <w:rPr>
                <w:rFonts w:ascii="Times New Roman" w:hAnsi="Times New Roman"/>
                <w:sz w:val="20"/>
                <w:szCs w:val="20"/>
              </w:rPr>
              <w:t>Mirona Białoszewskiego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przedstawioną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kolorystykę zawartą w wierszu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fragmenty, w których język literacki łączy się z językiem potocznym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fragmenty charakterystyczne dla poezji lingwistycznej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kim są madonny w wierszu Białoszewskiego </w:t>
            </w:r>
          </w:p>
          <w:p w:rsidR="003C648A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literackie, kulturowe i religijne w wierszu</w:t>
            </w:r>
          </w:p>
          <w:p w:rsidR="003C648A" w:rsidRPr="004711C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Madonny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ruchu karuzeli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kolorystyki zawartej</w:t>
            </w:r>
            <w:r w:rsidRPr="00254140">
              <w:rPr>
                <w:rFonts w:ascii="Times New Roman" w:hAnsi="Times New Roman"/>
                <w:sz w:val="20"/>
                <w:szCs w:val="20"/>
              </w:rPr>
              <w:t xml:space="preserve"> w wierszu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został w wierszu osiągnięty efekt melodyjności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łączenia języka literackiego z potocznym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kontekstów literackich, kulturowych i religijnych w wierszu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Madonny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motyw karuzeli w innych utworach literackich i omówić sposób jego wykorzystania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Madonny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Sakralizacja codzienności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Podłogo błogosław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Mirona Białoszewskiego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zwroty należące do sfery sacrum i profanum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adresata wiersza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parafrazy i motywy biblijne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kulturowe i religijne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648A" w:rsidRPr="004711C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codzienności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parafraz i motywów biblijnych w wierszu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warstwę brzmieniową wiersza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poetycka deklaracja Białoszewskiego </w:t>
            </w:r>
          </w:p>
          <w:p w:rsidR="003C648A" w:rsidRPr="00A24C92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utwory, w których pojawia się motyw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codzienności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na podstawie fragmentów tekstów zamieszczonych w podręczniku wypowiedzieć się na temat symbolicznej funkcji przedmiotów codziennego użytku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codzienności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DD1B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namuzowywanie</w:t>
            </w:r>
            <w:proofErr w:type="spellEnd"/>
            <w:r w:rsidR="003C648A">
              <w:rPr>
                <w:rFonts w:ascii="Times New Roman" w:hAnsi="Times New Roman"/>
                <w:sz w:val="20"/>
                <w:szCs w:val="20"/>
              </w:rPr>
              <w:t xml:space="preserve"> – deklaracja</w:t>
            </w:r>
            <w:r w:rsidR="00DD1B16">
              <w:rPr>
                <w:rFonts w:ascii="Times New Roman" w:hAnsi="Times New Roman"/>
                <w:sz w:val="20"/>
                <w:szCs w:val="20"/>
              </w:rPr>
              <w:t xml:space="preserve"> poetycka Mirona Białoszewskiego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</w:t>
            </w:r>
            <w:r w:rsidRPr="00497548">
              <w:rPr>
                <w:rFonts w:ascii="Times New Roman" w:hAnsi="Times New Roman"/>
                <w:sz w:val="20"/>
                <w:szCs w:val="20"/>
              </w:rPr>
              <w:t xml:space="preserve">neologizmów </w:t>
            </w:r>
            <w:r>
              <w:rPr>
                <w:rFonts w:ascii="Times New Roman" w:hAnsi="Times New Roman"/>
                <w:sz w:val="20"/>
                <w:szCs w:val="20"/>
              </w:rPr>
              <w:t>użytych w wierszu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 podstawie wiersza sformułować prośbę, z jaką podmiot liryczny zwraca się do muzy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słowotwórczej neologizmów, utworzonych przez Białoszewskiego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literackie odnoszące się do wykorzystania motywu muzy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lingwistyczny charakter 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związek pomiędzy budową neologizmów a problematyką wiersza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z czego wynika żartobliwy charakter wiersza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namuzowywanie</w:t>
            </w:r>
            <w:proofErr w:type="spellEnd"/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motyw muzy użyty w wierszu i w kontekście mitologicznym 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823B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porządkować informacje zawarte w tekście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rz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informacje zawarte w tekście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główny problem w tekście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argumenty potwierdzające stanowisko autor</w:t>
            </w:r>
            <w:r>
              <w:rPr>
                <w:rFonts w:ascii="Times New Roman" w:hAnsi="Times New Roman"/>
                <w:sz w:val="20"/>
                <w:szCs w:val="20"/>
              </w:rPr>
              <w:t>ki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 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7548">
              <w:rPr>
                <w:rFonts w:ascii="Times New Roman" w:hAnsi="Times New Roman"/>
                <w:sz w:val="20"/>
                <w:szCs w:val="20"/>
              </w:rPr>
              <w:t>z tezami postawionymi przez autorów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E703FA">
              <w:rPr>
                <w:rFonts w:ascii="Times New Roman" w:hAnsi="Times New Roman"/>
                <w:sz w:val="20"/>
                <w:szCs w:val="20"/>
              </w:rPr>
              <w:t>Interpretacja tekstu – ćwiczenia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odczytać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religijny, filozoficzny, egzystencjalny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*52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Współczucie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Sławomira Mrożka – mechanizmy działania ludzkiej psychiki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problematykę opowiadania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ironii i groteski w utworze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ironii i groteski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nawiązania do egzystencjalizmu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obraz ludzkiej natury, który wyłania się z utworu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polemikę z przesłaniem utworu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*53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Realne i metaforyczne więzienie w opowiadaniu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Mój przyjaciel nieznajomy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  <w:r w:rsidR="003C648A" w:rsidRPr="00F20A61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problematykę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tekście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ironię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społeczno-polityczne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kulturowe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funkcję środków językowych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zacytowanego fragmentu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Hamleta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Williama Szekspira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moralnej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ironii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tekście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symboliczne znaczenie gołębia 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zakończenie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opowiadania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utwór w kontekście państwa totalitarnego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symboliczne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znaczenie gołębia do problematyki utworu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różne sposoby ukazania motywu szatana w różnych tekstach kultury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54. i 55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Dramat o rodzinie i społeczeństwie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Tango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Sławomira Mrożka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przestrzeń sceniczną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dramatu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dramatu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bohaterów dramatu jako reprezentantów grup społecznych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odwrócenie ról w świecie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Tanga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wyłaniający się z dramatu obraz rodziny i stosunków międzyludzkich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pomiędzy członkami rodziny a Edkiem w kontekście problematyki społecznej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postawy poszczególnych członków rodziny jako reprezentantów różnych postaw społecznych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utwór jako dramat rodzinny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 jako parabolę polityczną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Obraz buntu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Tangu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pojęcie buntu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bohatera romantycznego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Artura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bohatera romantycznego w Arturze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stylu romantycznego w wypowiedziach Artura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groteskowe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literacki i historycznoliteracki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przyczyny niezgody Artura na zastaną rzeczywistość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narzuconego przez Artura ceremoniału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wypowiedzi Artura do monologów Konrada, wskazać podobieństwa i różnice pomiędzy nimi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groteski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buntu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tragizm Artura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buntu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661E9D" w:rsidRDefault="006823B0" w:rsidP="0057514A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Wokół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Tanga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Sławomira Mrożka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trzy tańce opisane w: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Panu Tadeuszu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Adama Mickiewicza,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Tangu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Sławomira Mrożka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porównać trzy tańce przedstawione w różnych tekstach literackich: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Panu Tadeuszu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Adama Mickiewicza,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Tangu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portrety polskiej inteligencji w różnych tekstach kultury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konfliktów społecznych w różnych tekstach literackich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plakat Andrzeja Pągowskiego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trudnych wyborów młodego bohatera w różnych tekstach literackich i filmowych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*58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Wypełnić czytelnym pismem, Tłum, który tłumi i tłumaczy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Stanisława Barańczaka – gry językowe poety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auto"/>
          </w:tcPr>
          <w:p w:rsidR="003C648A" w:rsidRPr="00427DA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wyrażenia, zwroty i formy językowe charakterystyczne dla języka urzędowego oraz sformułowania charakterystyczne dla stylu poetyckiego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Wypełnić czytelnym pismem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wyrazy i sformułowania charakteryzujące tłum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Tłum, który tłumi i tłumaczy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Pr="00427DA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problematykę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sposobu traktowania człowieka w państwie totalitarnym w kontekście wierszy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paradoks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Tłum, który tłumi i tłumaczy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poetyki lingwistycznej w omawianych utworach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treść wierszy do kontekstu historycznego – rzeczywistości PRL-u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funkcję paradoksu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Tłum, który tłumi i tłumaczy</w:t>
            </w:r>
          </w:p>
        </w:tc>
        <w:tc>
          <w:tcPr>
            <w:tcW w:w="2202" w:type="dxa"/>
            <w:shd w:val="clear" w:color="auto" w:fill="auto"/>
          </w:tcPr>
          <w:p w:rsidR="003C648A" w:rsidRPr="00427DA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zakończenia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uniwersalności omawianych wierszy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niejednorodności stylistycznej wiersza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warstwę językową wiersza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*59. i 60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Skargi do Pana Boga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Drogi kąciku porad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Widokówka z tego świata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Stanisława Barańczaka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adresatów lirycznych wierszy</w:t>
            </w: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podmiotów lirycznych w wierszach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problematykę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teksty literackie, w których pojawia się motyw rozmowy człowieka z Bogiem </w:t>
            </w: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świata i człowieka w wierszach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różne postawy bohaterów literackich wobec Boga</w:t>
            </w: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zakończenia utworów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wiersza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Widokówka z tego świata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stronę graficzną wiersza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Drogi kąciku porad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Straszny i śmieszny obraz PRL-u.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Mała apokalipsa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Tadeusza Konwickiego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utworu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świat przedstawiony w powieści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przedstawioną w utworze rzeczywistość PRL-u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autobiograficzne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pod kątem ich postaw i stosunku do ustroju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funkcji nieokreślonego czasu i przestrzeni w powieści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przestrzeni w powieści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*62. i 63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Wędrówka w poszukiwaniu odpowiedzi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Mała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apokalipsa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Tadeusza Konwickiego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etapy wędrówki bohatera-narratora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bohatera-narratora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toposy i motywy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literackie wykorzystane w kreacji przestrzeni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katastroficzne w powieści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motywy działania bohatera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biblijne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 omówić ich funkcję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symbolicznego znaczenia wędrówki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bohatera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tytułu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podjąć dyskusję na temat roli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paradygmatu polskiej kultury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tyrtejskiej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powieści 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*64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Mała apokalipsa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Tadeusza Konwickiego w dialogu z tekstami kultury 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pojawiają się podobne wątki i motywy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różne ujęcia motywu samobójstwa w tekstach literackich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ukazania motywu miłości w rzeczywistości państwa totalitarnego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Małej Apokalipsie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Bułhakowa oraz w innych tekstach kultury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obraz i funkcję przestrzeni w powieści Konwickiego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Procesie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Franza Kafki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omówić, jaką funkcję pełni szpital psychiatryczny w powieściach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Mała Apokalipsa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oraz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Mistrz i Małgorzata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*65</w:t>
            </w:r>
            <w:r w:rsidR="003C648A" w:rsidRPr="00E703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E703FA">
              <w:rPr>
                <w:rFonts w:ascii="Times New Roman" w:hAnsi="Times New Roman"/>
                <w:sz w:val="20"/>
                <w:szCs w:val="20"/>
              </w:rPr>
              <w:t>Krytyczne czytanie tekstu – ćwiczenia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porządkować informacje zawarte w tekście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przetw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rz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informacje zawarte w tekście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główny problem w tekście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argumenty potwierdzające stanowisko autor</w:t>
            </w:r>
            <w:r>
              <w:rPr>
                <w:rFonts w:ascii="Times New Roman" w:hAnsi="Times New Roman"/>
                <w:sz w:val="20"/>
                <w:szCs w:val="20"/>
              </w:rPr>
              <w:t>ki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 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tezą artykułu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Realizm i symbolika stanu wojennego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Raport o stanie wojennym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Marka Nowakowskiego</w:t>
            </w:r>
          </w:p>
          <w:p w:rsidR="003C648A" w:rsidRPr="00404D18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opowiadania 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kontekst historyczny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postaci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wymienić, jakie środki językowe zostały użyte w tekście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symboliczne i omówić ich znaczenie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środków językowych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realizacji założeń małego realizmu w opowiadaniu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znaczenia niedosłowne w opowiadaniu 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symboliczne znaczenie zdjęcia Chrisa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Niedenthala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E7E6E6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Edek w nowej rzeczywistości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Górą Edek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Marka Nowakowskiego 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bohaterów opowiadania </w:t>
            </w:r>
          </w:p>
        </w:tc>
        <w:tc>
          <w:tcPr>
            <w:tcW w:w="2577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bohaterów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konteksty: społeczno-obyczajowy i literacki</w:t>
            </w:r>
          </w:p>
        </w:tc>
        <w:tc>
          <w:tcPr>
            <w:tcW w:w="26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nawiązań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Tanga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Sławomira Mrożka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społeczno-obyczajowy lat 90. XX wieku</w:t>
            </w:r>
          </w:p>
        </w:tc>
        <w:tc>
          <w:tcPr>
            <w:tcW w:w="2202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symboliczny sens sceny na parkingu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</w:t>
            </w:r>
          </w:p>
        </w:tc>
        <w:tc>
          <w:tcPr>
            <w:tcW w:w="2284" w:type="dxa"/>
            <w:shd w:val="clear" w:color="auto" w:fill="E7E6E6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konteksty: społeczno-obyczajowy i literacki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*68. i 69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Wieża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Gustawa Herlinga-Grudzińskiego – studium samotności </w:t>
            </w:r>
            <w:r w:rsidR="003C648A" w:rsidRPr="005311F8"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221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plany czasowe w opowiadaniu</w:t>
            </w:r>
          </w:p>
        </w:tc>
        <w:tc>
          <w:tcPr>
            <w:tcW w:w="2577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narracji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motyw samotności</w:t>
            </w:r>
          </w:p>
        </w:tc>
        <w:tc>
          <w:tcPr>
            <w:tcW w:w="26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drogi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Lebbroso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zaakceptowania swojej samotności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kompozycyjną funkcję motywu pielgrzyma świętokrzyskiego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parabolicznej wymowy utworu </w:t>
            </w:r>
          </w:p>
        </w:tc>
        <w:tc>
          <w:tcPr>
            <w:tcW w:w="2202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symboliczne znaczenie wieży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stosunek do samotności bohaterów opowiadania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Lebbrosa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nauczyciela z Turynu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znaczenie tytułu</w:t>
            </w:r>
          </w:p>
        </w:tc>
        <w:tc>
          <w:tcPr>
            <w:tcW w:w="2284" w:type="dxa"/>
            <w:shd w:val="clear" w:color="auto" w:fill="FFFFFF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motywu samotności w różnych tekstach kultury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auto"/>
          </w:tcPr>
          <w:p w:rsidR="003C648A" w:rsidRPr="00DD1B16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*70. i 71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Rozważania o cierpieniu w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Dzienniku pisanym nocą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Gustawa Herlinga-Grudzińskiego</w:t>
            </w:r>
          </w:p>
        </w:tc>
        <w:tc>
          <w:tcPr>
            <w:tcW w:w="2221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fragmentu</w:t>
            </w:r>
          </w:p>
          <w:p w:rsidR="003C648A" w:rsidRPr="0016259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utwory, w których pojawia się motyw cierpienia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struktury eseju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eseju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analogie literackie, kulturowe i filozoficzne, które stały się osią tekstu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interpretacji tekstów literackich i filozoficznych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Dzienniku pisanym nocą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kompozycyjną przedostatniego akapitu fragmentu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cierpienia w różnych utworach literackich</w:t>
            </w:r>
          </w:p>
        </w:tc>
        <w:tc>
          <w:tcPr>
            <w:tcW w:w="2284" w:type="dxa"/>
            <w:shd w:val="clear" w:color="auto" w:fill="auto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roli cierpienia w ludzkim życiu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*72., 73. i 74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W poszukiwaniu bliskości drugiego człowieka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Antygona w Nowym Jorku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Janusza Głowackiego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dramatu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miejsce akcji dramatu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bohaterów dramatu w kontekście losu emigranta i kryzysu bezdomności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pomiędzy bohaterami </w:t>
            </w:r>
          </w:p>
          <w:p w:rsidR="003C648A" w:rsidRPr="00162598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utwory, w których pojawia się motyw domu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przestrzeni w dramacie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Policjanta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tragiczne i komiczne w dramacie i określić ich funkcję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funkcji czekania w dramacie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Antygonę w Nowym Jorku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Antygonę </w:t>
            </w:r>
            <w:r>
              <w:rPr>
                <w:rFonts w:ascii="Times New Roman" w:hAnsi="Times New Roman"/>
                <w:sz w:val="20"/>
                <w:szCs w:val="20"/>
              </w:rPr>
              <w:t>Sofoklesa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fatum w obu dramatach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ostatnie słowa Policjanta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aluzji literackiej w dramacie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motywu domu w różnych tekstach kultury, uwzględniając szerokie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75. i 76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Beskidzki realizm magiczny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Miejsce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Andrzeja Stasiuka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opowiadania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narracji w utworze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różne płaszczyzny czasowe przedstawione w opowiadaniu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środki językowe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realizmu magicznego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utworu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przedstawienia różnych perspektyw czasowych w utworze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sposobu postrzegania przestrzeni w opowiadaniu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natury w opowiadaniu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użytych w tekście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sposobu przedstawienia motywu przemijania w opowiadaniu</w:t>
            </w: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kontekstów przywołanych w utworze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77. i 78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Samotność i wyobcowanie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Profesor Andrews w Warszawie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Olgi Tokarczuk</w:t>
            </w:r>
          </w:p>
          <w:p w:rsidR="003C648A" w:rsidRDefault="003C648A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opowiadania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narrację w utworze</w:t>
            </w: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świat przedstawiony, uwzględniając kontekst historyczny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tytułowego bohatera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konteksty historyczne i literackie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symbole występujące w opowiadaniu i omówić ich funkcję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przyczyny zagubienia bohatera w Warszawie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kontekstu literackiego </w:t>
            </w:r>
          </w:p>
          <w:p w:rsidR="003C648A" w:rsidRPr="00455206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utwory, w których pojawia się topos labiryntu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symboliczne znaczenie toposu labiryntu w opowiadaniu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zakończenie utworu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toposu labiryntu w różnych utworach literackich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79. i 80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Spotkanie z innością – </w:t>
            </w:r>
            <w:r w:rsidR="003C648A">
              <w:rPr>
                <w:rFonts w:ascii="Times New Roman" w:hAnsi="Times New Roman"/>
                <w:i/>
                <w:iCs/>
                <w:sz w:val="20"/>
                <w:szCs w:val="20"/>
              </w:rPr>
              <w:t>Podróże z Herodotem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Ryszarda Kapuścińskiego (lektura obowiązkowa)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fragmentu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różnice kulturowe pomiędzy reporterem a spotkanymi ludźmi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zdanie Kapuścińskiego na temat istoty zawodu reportera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język, którym posługuje się autor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Dziejów </w:t>
            </w:r>
            <w:r>
              <w:rPr>
                <w:rFonts w:ascii="Times New Roman" w:hAnsi="Times New Roman"/>
                <w:sz w:val="20"/>
                <w:szCs w:val="20"/>
              </w:rPr>
              <w:t>Herodota w reportażu Kapuścińskiego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inności przez Kapuścińskiego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fragmentów autobiograficznych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znaczeń wędrówki w różnych epokach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ujęcia motywu podróży w różnych utworach literackich </w:t>
            </w:r>
          </w:p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WSPÓŁCZESNOŚĆ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Od informacji do dezinformacji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zjawisko dezinformacji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newsów w procesie dezinformacji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dezinformacją a kłamstwem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newsy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strategie odróżniania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newsów od rzetelnych informacji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nierzetelność wskazanych wypowiedzi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dezinformacja przyczynia się do manipulowania informacją i opinią publiczną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manipulację medialną w podanym przykładzie i wyjaśnić jej mechanizm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 w:rsidRPr="00E703FA">
              <w:rPr>
                <w:rFonts w:ascii="Times New Roman" w:hAnsi="Times New Roman"/>
                <w:sz w:val="20"/>
                <w:szCs w:val="20"/>
              </w:rPr>
              <w:t>Kompetencje językowe i komunikacyjne – ćwiczenia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ą terminologią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wykorzystywać teorię </w:t>
            </w:r>
            <w:r>
              <w:rPr>
                <w:rFonts w:ascii="Times New Roman" w:hAnsi="Times New Roman"/>
                <w:sz w:val="20"/>
                <w:szCs w:val="20"/>
              </w:rPr>
              <w:t>do rozwiązywania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zadań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poszerz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swoją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świadomość językową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WSPÓŁCZESNOŚĆ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Reklama w wymiarze pragmatycznym i etycznym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cel reklamy i wymienić jej formy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techniki perswazyjne, stosowane w reklamie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charakterystyczne cechy języka reklamy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techniki tworzenia sloganów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argumenty retoryczne, stosowane w tekście reklamowym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techniki manipulacyjne, stosowane w reklamie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rozpoznać techniki perswazyjne w reklamie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i omówić obraz świata,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przedstawiony w reklamie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manipulację w tekstach reklamowych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ukryte treści reklamowe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analizować język wybranych reklam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tworzy slogan reklamowy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etycznego wymiary reklamy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84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Nowomowa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nowomowę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podstawowe właściwości nowomowy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zabiegi językowe, występujące w nowomowie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literackie pochodzenie terminu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właściwości nowomowy w podanych tekstach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językowe cechy nowomowy w podanych przykładach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polegają językowe cechy nowomowy w podanych przykładach 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sloganów w podanych przykładach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uzasadnić, że podany tekst został napisany językiem nowomowy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teksty propagandowe i wyjaśnić, jak nowomowa może wpływać na odbiorcę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Pr="004711C6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*85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Esej </w:t>
            </w:r>
          </w:p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esej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cechy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charakterystyczne języka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założenia kompozycyjne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materiały do napisania eseju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problematykę podanego eseju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język podanego eseju 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tworzyć, poprawny pod względem językowym i kompozycyjnym, esej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*86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:rsidR="003C648A" w:rsidRDefault="003C648A" w:rsidP="0057514A">
            <w:pPr>
              <w:pStyle w:val="Bezodstpw"/>
            </w:pPr>
            <w:r>
              <w:rPr>
                <w:rFonts w:ascii="Times New Roman" w:hAnsi="Times New Roman"/>
                <w:sz w:val="20"/>
                <w:szCs w:val="20"/>
              </w:rPr>
              <w:t>Reportaż</w:t>
            </w:r>
          </w:p>
        </w:tc>
        <w:tc>
          <w:tcPr>
            <w:tcW w:w="2221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definiować reportaż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cechy reportażu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reportażu w podanych przykładach 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i omówić odmiany reportażu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odmiany reportażu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założeniakompozycyjne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reportażu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cechy językowe reportażu </w:t>
            </w:r>
          </w:p>
        </w:tc>
        <w:tc>
          <w:tcPr>
            <w:tcW w:w="26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cele i funkcje reportażu</w:t>
            </w:r>
          </w:p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strukturę wskazanego reportażu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zgromadzić materiały do napisania reportażu </w:t>
            </w:r>
          </w:p>
        </w:tc>
        <w:tc>
          <w:tcPr>
            <w:tcW w:w="2202" w:type="dxa"/>
            <w:shd w:val="clear" w:color="auto" w:fill="D9D9D9"/>
          </w:tcPr>
          <w:p w:rsidR="003C648A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kompozycję wskazanych reportaży 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przeanalizować język podanego reportażu 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stworzyć poprawny pod względem językowym i kompozycyjnym reportaż</w:t>
            </w:r>
          </w:p>
        </w:tc>
      </w:tr>
      <w:tr w:rsidR="003C648A" w:rsidRPr="009706AD" w:rsidTr="0057514A">
        <w:tc>
          <w:tcPr>
            <w:tcW w:w="13994" w:type="dxa"/>
            <w:gridSpan w:val="6"/>
            <w:shd w:val="clear" w:color="auto" w:fill="auto"/>
          </w:tcPr>
          <w:p w:rsidR="003C648A" w:rsidRPr="009706AD" w:rsidRDefault="003C648A" w:rsidP="005751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DE4">
              <w:rPr>
                <w:rFonts w:ascii="Times New Roman" w:hAnsi="Times New Roman"/>
                <w:b/>
                <w:bCs/>
                <w:sz w:val="20"/>
                <w:szCs w:val="20"/>
              </w:rPr>
              <w:t>POWTÓRZENIE I PODSUMOWANIE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WSZYSTKICH EPOK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Pr="009706AD" w:rsidRDefault="006823B0" w:rsidP="005751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antyk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odtworzyć najważniejsze fakty,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88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Biblia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średniowiecze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renesans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91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barok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92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Powtórzenie do </w:t>
            </w:r>
            <w:r w:rsidR="003C648A">
              <w:rPr>
                <w:rFonts w:ascii="Times New Roman" w:hAnsi="Times New Roman"/>
                <w:sz w:val="20"/>
                <w:szCs w:val="20"/>
              </w:rPr>
              <w:lastRenderedPageBreak/>
              <w:t>matury – oświecenie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odtworzyć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wykorzystać najważniejsze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i wykorzystać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93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romantyzm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pozytywizm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Młoda Polska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dwudziestolecie międzywojenne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FFFFFF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97</w:t>
            </w:r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3C648A">
              <w:rPr>
                <w:rFonts w:ascii="Times New Roman" w:hAnsi="Times New Roman"/>
                <w:sz w:val="20"/>
                <w:szCs w:val="20"/>
              </w:rPr>
              <w:t>Powtórzenie do matury – wojna i okupacja</w:t>
            </w:r>
          </w:p>
        </w:tc>
        <w:tc>
          <w:tcPr>
            <w:tcW w:w="2221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FFFFFF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FFFFFF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FFFFFF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3C648A" w:rsidRPr="009706AD" w:rsidTr="0057514A">
        <w:tc>
          <w:tcPr>
            <w:tcW w:w="2108" w:type="dxa"/>
            <w:shd w:val="clear" w:color="auto" w:fill="D9D9D9"/>
          </w:tcPr>
          <w:p w:rsidR="003C648A" w:rsidRDefault="006823B0" w:rsidP="005751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98, 99. i 100</w:t>
            </w:r>
            <w:bookmarkStart w:id="3" w:name="_GoBack"/>
            <w:bookmarkEnd w:id="3"/>
            <w:r w:rsidR="003C648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3C648A">
              <w:rPr>
                <w:rFonts w:ascii="Times New Roman" w:hAnsi="Times New Roman"/>
                <w:sz w:val="20"/>
                <w:szCs w:val="20"/>
              </w:rPr>
              <w:t xml:space="preserve"> Powtórzenie do matury – współczesność</w:t>
            </w:r>
          </w:p>
        </w:tc>
        <w:tc>
          <w:tcPr>
            <w:tcW w:w="2221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577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602" w:type="dxa"/>
            <w:shd w:val="clear" w:color="auto" w:fill="D9D9D9"/>
          </w:tcPr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:rsidR="003C648A" w:rsidRPr="009706AD" w:rsidRDefault="003C648A" w:rsidP="00575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202" w:type="dxa"/>
            <w:shd w:val="clear" w:color="auto" w:fill="D9D9D9"/>
          </w:tcPr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3C648A" w:rsidRPr="009706AD" w:rsidRDefault="003C648A" w:rsidP="005751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284" w:type="dxa"/>
            <w:shd w:val="clear" w:color="auto" w:fill="D9D9D9"/>
          </w:tcPr>
          <w:p w:rsidR="003C648A" w:rsidRPr="009706AD" w:rsidRDefault="003C648A" w:rsidP="00575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:rsidR="003C648A" w:rsidRPr="009706AD" w:rsidRDefault="003C648A" w:rsidP="003C648A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3C648A" w:rsidRDefault="003C648A" w:rsidP="003C648A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C1447E" w:rsidRDefault="00C1447E"/>
    <w:sectPr w:rsidR="00C1447E" w:rsidSect="00F857F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E49" w:rsidRDefault="00C55E49">
      <w:pPr>
        <w:spacing w:after="0" w:line="240" w:lineRule="auto"/>
      </w:pPr>
      <w:r>
        <w:separator/>
      </w:r>
    </w:p>
  </w:endnote>
  <w:endnote w:type="continuationSeparator" w:id="0">
    <w:p w:rsidR="00C55E49" w:rsidRDefault="00C5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0664"/>
      <w:docPartObj>
        <w:docPartGallery w:val="Page Numbers (Bottom of Page)"/>
        <w:docPartUnique/>
      </w:docPartObj>
    </w:sdtPr>
    <w:sdtEndPr/>
    <w:sdtContent>
      <w:p w:rsidR="00346B99" w:rsidRDefault="003C64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B0">
          <w:rPr>
            <w:noProof/>
          </w:rPr>
          <w:t>1</w:t>
        </w:r>
        <w:r>
          <w:fldChar w:fldCharType="end"/>
        </w:r>
      </w:p>
    </w:sdtContent>
  </w:sdt>
  <w:p w:rsidR="00346B99" w:rsidRDefault="00C55E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E49" w:rsidRDefault="00C55E49">
      <w:pPr>
        <w:spacing w:after="0" w:line="240" w:lineRule="auto"/>
      </w:pPr>
      <w:r>
        <w:separator/>
      </w:r>
    </w:p>
  </w:footnote>
  <w:footnote w:type="continuationSeparator" w:id="0">
    <w:p w:rsidR="00C55E49" w:rsidRDefault="00C5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2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5"/>
  </w:num>
  <w:num w:numId="10">
    <w:abstractNumId w:val="19"/>
  </w:num>
  <w:num w:numId="11">
    <w:abstractNumId w:val="20"/>
  </w:num>
  <w:num w:numId="12">
    <w:abstractNumId w:val="15"/>
  </w:num>
  <w:num w:numId="13">
    <w:abstractNumId w:val="10"/>
  </w:num>
  <w:num w:numId="14">
    <w:abstractNumId w:val="34"/>
  </w:num>
  <w:num w:numId="15">
    <w:abstractNumId w:val="11"/>
  </w:num>
  <w:num w:numId="16">
    <w:abstractNumId w:val="17"/>
  </w:num>
  <w:num w:numId="17">
    <w:abstractNumId w:val="14"/>
  </w:num>
  <w:num w:numId="18">
    <w:abstractNumId w:val="39"/>
  </w:num>
  <w:num w:numId="19">
    <w:abstractNumId w:val="29"/>
  </w:num>
  <w:num w:numId="20">
    <w:abstractNumId w:val="26"/>
  </w:num>
  <w:num w:numId="21">
    <w:abstractNumId w:val="6"/>
  </w:num>
  <w:num w:numId="22">
    <w:abstractNumId w:val="25"/>
  </w:num>
  <w:num w:numId="23">
    <w:abstractNumId w:val="4"/>
  </w:num>
  <w:num w:numId="24">
    <w:abstractNumId w:val="32"/>
  </w:num>
  <w:num w:numId="25">
    <w:abstractNumId w:val="9"/>
  </w:num>
  <w:num w:numId="26">
    <w:abstractNumId w:val="22"/>
  </w:num>
  <w:num w:numId="27">
    <w:abstractNumId w:val="30"/>
  </w:num>
  <w:num w:numId="28">
    <w:abstractNumId w:val="28"/>
  </w:num>
  <w:num w:numId="29">
    <w:abstractNumId w:val="35"/>
  </w:num>
  <w:num w:numId="30">
    <w:abstractNumId w:val="36"/>
  </w:num>
  <w:num w:numId="31">
    <w:abstractNumId w:val="24"/>
  </w:num>
  <w:num w:numId="32">
    <w:abstractNumId w:val="37"/>
  </w:num>
  <w:num w:numId="33">
    <w:abstractNumId w:val="40"/>
  </w:num>
  <w:num w:numId="34">
    <w:abstractNumId w:val="3"/>
  </w:num>
  <w:num w:numId="35">
    <w:abstractNumId w:val="18"/>
  </w:num>
  <w:num w:numId="36">
    <w:abstractNumId w:val="13"/>
  </w:num>
  <w:num w:numId="37">
    <w:abstractNumId w:val="31"/>
  </w:num>
  <w:num w:numId="38">
    <w:abstractNumId w:val="8"/>
  </w:num>
  <w:num w:numId="39">
    <w:abstractNumId w:val="38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8A"/>
    <w:rsid w:val="003C648A"/>
    <w:rsid w:val="006823B0"/>
    <w:rsid w:val="007B4E7F"/>
    <w:rsid w:val="00C1447E"/>
    <w:rsid w:val="00C55E49"/>
    <w:rsid w:val="00DD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48A"/>
  </w:style>
  <w:style w:type="paragraph" w:styleId="Nagwek1">
    <w:name w:val="heading 1"/>
    <w:basedOn w:val="Normalny"/>
    <w:link w:val="Nagwek1Znak"/>
    <w:uiPriority w:val="9"/>
    <w:qFormat/>
    <w:rsid w:val="003C6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C6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4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48A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48A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48A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48A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48A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48A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48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C64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4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48A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48A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48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48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48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48A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3C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C648A"/>
    <w:rPr>
      <w:b/>
      <w:bCs/>
    </w:rPr>
  </w:style>
  <w:style w:type="character" w:styleId="Uwydatnienie">
    <w:name w:val="Emphasis"/>
    <w:basedOn w:val="Domylnaczcionkaakapitu"/>
    <w:uiPriority w:val="20"/>
    <w:qFormat/>
    <w:rsid w:val="003C648A"/>
    <w:rPr>
      <w:i/>
      <w:iCs/>
    </w:rPr>
  </w:style>
  <w:style w:type="paragraph" w:styleId="Akapitzlist">
    <w:name w:val="List Paragraph"/>
    <w:basedOn w:val="Normalny"/>
    <w:uiPriority w:val="34"/>
    <w:qFormat/>
    <w:rsid w:val="003C64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48A"/>
  </w:style>
  <w:style w:type="paragraph" w:styleId="Stopka">
    <w:name w:val="footer"/>
    <w:basedOn w:val="Normalny"/>
    <w:link w:val="Stopka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48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4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4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48A"/>
    <w:rPr>
      <w:vertAlign w:val="superscript"/>
    </w:rPr>
  </w:style>
  <w:style w:type="paragraph" w:customStyle="1" w:styleId="Default">
    <w:name w:val="Default"/>
    <w:rsid w:val="003C6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C6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48A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48A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48A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48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C648A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4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48A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48A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3C64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48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48A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nhideWhenUsed/>
    <w:rsid w:val="003C648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C648A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64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4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48A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3C64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48A"/>
  </w:style>
  <w:style w:type="paragraph" w:styleId="Nagwek1">
    <w:name w:val="heading 1"/>
    <w:basedOn w:val="Normalny"/>
    <w:link w:val="Nagwek1Znak"/>
    <w:uiPriority w:val="9"/>
    <w:qFormat/>
    <w:rsid w:val="003C6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C64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4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48A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48A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48A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48A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48A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48A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48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C64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4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48A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48A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48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48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48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48A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3C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C648A"/>
    <w:rPr>
      <w:b/>
      <w:bCs/>
    </w:rPr>
  </w:style>
  <w:style w:type="character" w:styleId="Uwydatnienie">
    <w:name w:val="Emphasis"/>
    <w:basedOn w:val="Domylnaczcionkaakapitu"/>
    <w:uiPriority w:val="20"/>
    <w:qFormat/>
    <w:rsid w:val="003C648A"/>
    <w:rPr>
      <w:i/>
      <w:iCs/>
    </w:rPr>
  </w:style>
  <w:style w:type="paragraph" w:styleId="Akapitzlist">
    <w:name w:val="List Paragraph"/>
    <w:basedOn w:val="Normalny"/>
    <w:uiPriority w:val="34"/>
    <w:qFormat/>
    <w:rsid w:val="003C64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48A"/>
  </w:style>
  <w:style w:type="paragraph" w:styleId="Stopka">
    <w:name w:val="footer"/>
    <w:basedOn w:val="Normalny"/>
    <w:link w:val="StopkaZnak"/>
    <w:uiPriority w:val="99"/>
    <w:unhideWhenUsed/>
    <w:rsid w:val="003C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48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4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4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48A"/>
    <w:rPr>
      <w:vertAlign w:val="superscript"/>
    </w:rPr>
  </w:style>
  <w:style w:type="paragraph" w:customStyle="1" w:styleId="Default">
    <w:name w:val="Default"/>
    <w:rsid w:val="003C6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C6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48A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48A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48A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48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C648A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4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48A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48A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3C64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48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48A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nhideWhenUsed/>
    <w:rsid w:val="003C648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C648A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64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4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48A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3C64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7969</Words>
  <Characters>47815</Characters>
  <Application>Microsoft Office Word</Application>
  <DocSecurity>0</DocSecurity>
  <Lines>398</Lines>
  <Paragraphs>111</Paragraphs>
  <ScaleCrop>false</ScaleCrop>
  <Company>HP Inc.</Company>
  <LinksUpToDate>false</LinksUpToDate>
  <CharactersWithSpaces>55673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Użytkownik systemu Windows</cp:lastModifiedBy>
  <cp:revision>4</cp:revision>
  <dcterms:created xsi:type="dcterms:W3CDTF">2025-09-03T18:32:00Z</dcterms:created>
  <dcterms:modified xsi:type="dcterms:W3CDTF">2025-09-07T16:12:00Z</dcterms:modified>
</cp:coreProperties>
</file>